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69" w:rsidRDefault="00D330A6" w:rsidP="00D330A6">
      <w:pPr>
        <w:pStyle w:val="Titre"/>
        <w:jc w:val="center"/>
        <w:rPr>
          <w:sz w:val="40"/>
        </w:rPr>
      </w:pPr>
      <w:r w:rsidRPr="00D330A6">
        <w:rPr>
          <w:sz w:val="40"/>
        </w:rPr>
        <w:t>Quelles pistes pour améliorer</w:t>
      </w:r>
      <w:r>
        <w:rPr>
          <w:sz w:val="40"/>
        </w:rPr>
        <w:t xml:space="preserve"> le pilotage et l’évaluation de la recherche grâce à</w:t>
      </w:r>
      <w:r w:rsidRPr="00D330A6">
        <w:rPr>
          <w:sz w:val="40"/>
        </w:rPr>
        <w:t xml:space="preserve"> la bibliométrie ?</w:t>
      </w:r>
    </w:p>
    <w:p w:rsidR="00D330A6" w:rsidRDefault="00D330A6" w:rsidP="00D330A6">
      <w:r>
        <w:t>Introduction :</w:t>
      </w:r>
      <w:r w:rsidR="00EE414C">
        <w:t xml:space="preserve"> les limites du système actuel</w:t>
      </w:r>
      <w:r>
        <w:t xml:space="preserve"> sont évidentes (trop de pression pour publier, évaluation extérieure p</w:t>
      </w:r>
      <w:r w:rsidR="00EE414C">
        <w:t>ar des agences de classements, indicateurs simplistes et décriés, vision partielle de la production scientifique) et décrédibilisent l’approche bibliométrique (= statistiques sur les publications).</w:t>
      </w:r>
    </w:p>
    <w:p w:rsidR="00B76F54" w:rsidRPr="00D330A6" w:rsidRDefault="00B76F54" w:rsidP="00D330A6">
      <w:r>
        <w:t>Conditions : associer les chercheurs, expliquer la méthodologie (scientifique), s’ouvrir aux autres tutelles (recherche française est mixte)</w:t>
      </w:r>
      <w:bookmarkStart w:id="0" w:name="_GoBack"/>
      <w:bookmarkEnd w:id="0"/>
    </w:p>
    <w:p w:rsidR="00000000" w:rsidRPr="00D330A6" w:rsidRDefault="00CE7619" w:rsidP="00D330A6">
      <w:pPr>
        <w:pStyle w:val="Titre1"/>
        <w:numPr>
          <w:ilvl w:val="0"/>
          <w:numId w:val="7"/>
        </w:numPr>
        <w:rPr>
          <w:lang w:val="en-US"/>
        </w:rPr>
      </w:pPr>
      <w:r w:rsidRPr="00D330A6">
        <w:t>Comment améliorer l’évaluation de la recherche grâce à une « meilleure bibliométrie » ? (</w:t>
      </w:r>
      <w:proofErr w:type="spellStart"/>
      <w:r w:rsidRPr="00D330A6">
        <w:t>cf</w:t>
      </w:r>
      <w:proofErr w:type="spellEnd"/>
      <w:r w:rsidRPr="00D330A6">
        <w:t xml:space="preserve"> </w:t>
      </w:r>
      <w:hyperlink r:id="rId8" w:history="1">
        <w:proofErr w:type="spellStart"/>
        <w:r w:rsidRPr="00D330A6">
          <w:rPr>
            <w:rStyle w:val="Lienhypertexte"/>
          </w:rPr>
          <w:t>Leiden</w:t>
        </w:r>
        <w:proofErr w:type="spellEnd"/>
      </w:hyperlink>
      <w:hyperlink r:id="rId9" w:history="1">
        <w:r w:rsidRPr="00D330A6">
          <w:rPr>
            <w:rStyle w:val="Lienhypertexte"/>
          </w:rPr>
          <w:t xml:space="preserve"> </w:t>
        </w:r>
      </w:hyperlink>
      <w:hyperlink r:id="rId10" w:history="1">
        <w:proofErr w:type="spellStart"/>
        <w:r w:rsidRPr="00D330A6">
          <w:rPr>
            <w:rStyle w:val="Lienhypertexte"/>
          </w:rPr>
          <w:t>Manifesto</w:t>
        </w:r>
        <w:proofErr w:type="spellEnd"/>
      </w:hyperlink>
      <w:r w:rsidRPr="00D330A6">
        <w:t>)</w:t>
      </w:r>
    </w:p>
    <w:p w:rsidR="00D330A6" w:rsidRDefault="00D330A6" w:rsidP="00D330A6">
      <w:r>
        <w:t>Compléter les données actuell</w:t>
      </w:r>
      <w:r w:rsidRPr="00D330A6">
        <w:t>es de la bibliométrie</w:t>
      </w:r>
      <w:r>
        <w:t> : s’appuyer sur un recensement exhaustif de tous les types de publications dans toutes les disciplines : base de données à partager nationalement, voire internationalement</w:t>
      </w:r>
    </w:p>
    <w:p w:rsidR="00D330A6" w:rsidRDefault="00D330A6" w:rsidP="00D330A6">
      <w:r>
        <w:t>Définir les objectifs de l’évaluation (attribution de moyens, pilotage, valorisation… ?) et la granularité (éviter le niveau individuel)</w:t>
      </w:r>
    </w:p>
    <w:p w:rsidR="00D330A6" w:rsidRDefault="00D330A6" w:rsidP="00D330A6">
      <w:r>
        <w:t>Ne pas se limiter à un indicateur : justifier l’intérêt et les limites des indicateurs retenus</w:t>
      </w:r>
    </w:p>
    <w:p w:rsidR="00D330A6" w:rsidRDefault="00D330A6" w:rsidP="00D330A6">
      <w:r>
        <w:t>Impliquer les chercheurs et les labos dans la définition des indicateurs</w:t>
      </w:r>
    </w:p>
    <w:p w:rsidR="00D330A6" w:rsidRDefault="00D330A6" w:rsidP="00D330A6">
      <w:r>
        <w:t>Stabiliser les indicateurs pertinents (pour une comparaison dans le temps) et abandonner les autres (facteur d’impact)</w:t>
      </w:r>
    </w:p>
    <w:p w:rsidR="00D330A6" w:rsidRPr="00D330A6" w:rsidRDefault="00D330A6" w:rsidP="00D330A6">
      <w:r>
        <w:t xml:space="preserve">Evaluer aussi l’open science : les publications en open </w:t>
      </w:r>
      <w:proofErr w:type="spellStart"/>
      <w:r>
        <w:t>access</w:t>
      </w:r>
      <w:proofErr w:type="spellEnd"/>
      <w:r>
        <w:t xml:space="preserve"> et les données partagées</w:t>
      </w:r>
    </w:p>
    <w:p w:rsidR="00000000" w:rsidRDefault="00CE7619" w:rsidP="00D330A6">
      <w:pPr>
        <w:pStyle w:val="Titre1"/>
        <w:numPr>
          <w:ilvl w:val="0"/>
          <w:numId w:val="7"/>
        </w:numPr>
      </w:pPr>
      <w:r w:rsidRPr="00D330A6">
        <w:t xml:space="preserve">Comment améliorer </w:t>
      </w:r>
      <w:r w:rsidRPr="00D330A6">
        <w:t xml:space="preserve">l’évaluation de la recherche en supprimant/sans utiliser la bibliométrie ? </w:t>
      </w:r>
    </w:p>
    <w:p w:rsidR="00D330A6" w:rsidRDefault="00EE414C" w:rsidP="00D330A6">
      <w:r>
        <w:t>C’est le cas dans plusieurs disciplines : SHS, droit, mathématiques. A étudier de plus près comment fonctionnent ces communautés.</w:t>
      </w:r>
    </w:p>
    <w:p w:rsidR="00EE414C" w:rsidRDefault="00EE414C" w:rsidP="00EE414C">
      <w:r>
        <w:t>Lister les différentes activités de recherche, autres que la publication d’articles dans des revues à comité de lecture</w:t>
      </w:r>
      <w:r>
        <w:t> :</w:t>
      </w:r>
    </w:p>
    <w:p w:rsidR="00EE414C" w:rsidRDefault="00EE414C" w:rsidP="00D330A6">
      <w:r>
        <w:t>Valoriser (et donc comptabiliser) les erreurs, brouillons, bidouilles, expériences, comme par exemple les blogs, carnets de recherche… qui sont souvent diffusés en-dehors d’un système de publication « officiel » mais qui font partie des nouvelles formes d’expression de la recherche</w:t>
      </w:r>
    </w:p>
    <w:p w:rsidR="00EE414C" w:rsidRDefault="00EE414C" w:rsidP="00D330A6">
      <w:r>
        <w:t>Les appels à projets, la capacité à lever des fonds</w:t>
      </w:r>
    </w:p>
    <w:p w:rsidR="00EE414C" w:rsidRDefault="00EE414C" w:rsidP="00D330A6">
      <w:r>
        <w:t>L’organisation de manifestations scientifiques</w:t>
      </w:r>
    </w:p>
    <w:p w:rsidR="00EE414C" w:rsidRDefault="00EE414C" w:rsidP="00D330A6">
      <w:r>
        <w:lastRenderedPageBreak/>
        <w:t xml:space="preserve">La vulgarisation, médiation, les synthèses, les </w:t>
      </w:r>
      <w:proofErr w:type="spellStart"/>
      <w:r>
        <w:t>comptes-rendus</w:t>
      </w:r>
      <w:proofErr w:type="spellEnd"/>
      <w:r>
        <w:t xml:space="preserve"> de lecture</w:t>
      </w:r>
    </w:p>
    <w:p w:rsidR="00EE414C" w:rsidRDefault="00EE414C" w:rsidP="00D330A6">
      <w:r>
        <w:t xml:space="preserve">L’édition d’ouvrages collectifs, le </w:t>
      </w:r>
      <w:proofErr w:type="spellStart"/>
      <w:r>
        <w:t>reviewing</w:t>
      </w:r>
      <w:proofErr w:type="spellEnd"/>
      <w:r>
        <w:t>, la participation à un comité éditorial</w:t>
      </w:r>
    </w:p>
    <w:p w:rsidR="00EE414C" w:rsidRDefault="00EE414C" w:rsidP="00D330A6">
      <w:r>
        <w:t>Thèses : encadrement de thèses, participation en tant que jury ou rapporteur, HDR, (insertion professionnel des docteurs encadrés)</w:t>
      </w:r>
    </w:p>
    <w:p w:rsidR="00EE414C" w:rsidRDefault="00EE414C" w:rsidP="00D330A6">
      <w:r>
        <w:t>Prix académiques (IUF, Nobel…)</w:t>
      </w:r>
    </w:p>
    <w:p w:rsidR="00000000" w:rsidRPr="00D330A6" w:rsidRDefault="00CE7619" w:rsidP="00D330A6">
      <w:pPr>
        <w:pStyle w:val="Titre1"/>
        <w:numPr>
          <w:ilvl w:val="0"/>
          <w:numId w:val="7"/>
        </w:numPr>
      </w:pPr>
      <w:r w:rsidRPr="00D330A6">
        <w:t>Comment faire autre chose avec la bibliométrie qu’évaluer la recherche ?</w:t>
      </w:r>
    </w:p>
    <w:p w:rsidR="006932ED" w:rsidRDefault="00EE414C">
      <w:r>
        <w:t>Identifier les collaborations étrangères et privées : pour monter des projets, des partenariats académiques ou non</w:t>
      </w:r>
      <w:r w:rsidR="00B76F54">
        <w:t>. C’est en particulier utile pour trouver des collaborations en-dehors de sa discipline (développement de l’interdisciplinarité)</w:t>
      </w:r>
    </w:p>
    <w:p w:rsidR="00B76F54" w:rsidRDefault="00B76F54">
      <w:r>
        <w:t xml:space="preserve">Suivre l’évolution de l’open </w:t>
      </w:r>
      <w:proofErr w:type="spellStart"/>
      <w:r>
        <w:t>access</w:t>
      </w:r>
      <w:proofErr w:type="spellEnd"/>
      <w:r>
        <w:t>, trouver des arguments pour convaincre de déposer dans les archives ouvertes</w:t>
      </w:r>
    </w:p>
    <w:p w:rsidR="00EE414C" w:rsidRDefault="00EE414C">
      <w:r>
        <w:t>Cartographier des domaines de recherche (à un instant T et leur évolution dans le temps), pour anticiper des recrutements par exemple (</w:t>
      </w:r>
      <w:proofErr w:type="spellStart"/>
      <w:r>
        <w:t>cf</w:t>
      </w:r>
      <w:proofErr w:type="spellEnd"/>
      <w:r>
        <w:t xml:space="preserve"> CNRS), ou repérer des domaines émergents</w:t>
      </w:r>
      <w:r w:rsidR="00B76F54">
        <w:t xml:space="preserve"> ou passés (histoire de la science)</w:t>
      </w:r>
    </w:p>
    <w:p w:rsidR="00EE414C" w:rsidRDefault="00EE414C">
      <w:r>
        <w:t>Etudier les thèses : taux de libre accès, taux de publications</w:t>
      </w:r>
    </w:p>
    <w:p w:rsidR="00EE414C" w:rsidRDefault="00EE414C">
      <w:r>
        <w:t xml:space="preserve">Valoriser les publications avec des infographies, des visualisations (ex </w:t>
      </w:r>
      <w:proofErr w:type="spellStart"/>
      <w:r>
        <w:t>ScanR</w:t>
      </w:r>
      <w:proofErr w:type="spellEnd"/>
      <w:r>
        <w:t>) : logique différente de celle des classements</w:t>
      </w:r>
      <w:r w:rsidR="00B76F54">
        <w:t xml:space="preserve">. Utile pour le pilotage des labos </w:t>
      </w:r>
      <w:r w:rsidR="00B76F54">
        <w:t>(stratégie de diffusion)</w:t>
      </w:r>
      <w:r w:rsidR="00B76F54">
        <w:t xml:space="preserve"> et de l’université (partenariat, financements)</w:t>
      </w:r>
    </w:p>
    <w:p w:rsidR="00B76F54" w:rsidRDefault="00B76F54">
      <w:r>
        <w:t>Visibilité et reconnaissance de toute l’activité scientifique (y compris la vulgarisation…)</w:t>
      </w:r>
    </w:p>
    <w:p w:rsidR="00EE414C" w:rsidRDefault="00EE414C"/>
    <w:p w:rsidR="00EE414C" w:rsidRDefault="00EE414C"/>
    <w:sectPr w:rsidR="00EE414C" w:rsidSect="00E64D69">
      <w:footerReference w:type="default" r:id="rId11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619" w:rsidRDefault="00CE7619" w:rsidP="00031431">
      <w:pPr>
        <w:spacing w:after="0" w:line="240" w:lineRule="auto"/>
      </w:pPr>
      <w:r>
        <w:separator/>
      </w:r>
    </w:p>
  </w:endnote>
  <w:endnote w:type="continuationSeparator" w:id="0">
    <w:p w:rsidR="00CE7619" w:rsidRDefault="00CE7619" w:rsidP="00031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431" w:rsidRPr="00031431" w:rsidRDefault="00031431">
    <w:pPr>
      <w:pStyle w:val="Pieddepage"/>
      <w:rPr>
        <w:i/>
        <w:color w:val="808080" w:themeColor="background1" w:themeShade="80"/>
        <w:sz w:val="16"/>
      </w:rPr>
    </w:pPr>
    <w:r w:rsidRPr="00031431">
      <w:rPr>
        <w:i/>
        <w:noProof/>
        <w:color w:val="808080" w:themeColor="background1" w:themeShade="80"/>
        <w:sz w:val="16"/>
        <w:lang w:val="en-US"/>
      </w:rPr>
      <w:drawing>
        <wp:inline distT="0" distB="0" distL="0" distR="0" wp14:anchorId="5C6D0A33" wp14:editId="5E2D1BCB">
          <wp:extent cx="514350" cy="182360"/>
          <wp:effectExtent l="0" t="0" r="0" b="8255"/>
          <wp:docPr id="1" name="Image 1" descr="Afficher l'image d'ori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Afficher l'image d'orig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49" cy="184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30A6" w:rsidRPr="00D330A6">
      <w:rPr>
        <w:i/>
        <w:color w:val="808080" w:themeColor="background1" w:themeShade="80"/>
        <w:sz w:val="16"/>
      </w:rPr>
      <w:t xml:space="preserve"> </w:t>
    </w:r>
    <w:r w:rsidR="00D330A6">
      <w:rPr>
        <w:i/>
        <w:color w:val="808080" w:themeColor="background1" w:themeShade="80"/>
        <w:sz w:val="16"/>
      </w:rPr>
      <w:t>Ce document a été produit dans le cadre d’un stage de l’</w:t>
    </w:r>
    <w:r w:rsidR="00D330A6">
      <w:rPr>
        <w:i/>
        <w:color w:val="808080" w:themeColor="background1" w:themeShade="80"/>
        <w:sz w:val="16"/>
      </w:rPr>
      <w:t>URFIST de Bordeaux le 17/01/2017</w:t>
    </w:r>
    <w:r w:rsidR="00D330A6">
      <w:rPr>
        <w:i/>
        <w:color w:val="808080" w:themeColor="background1" w:themeShade="80"/>
        <w:sz w:val="16"/>
      </w:rPr>
      <w:tab/>
    </w:r>
    <w:r w:rsidR="00D330A6">
      <w:rPr>
        <w:i/>
        <w:color w:val="808080" w:themeColor="background1" w:themeShade="80"/>
        <w:sz w:val="16"/>
      </w:rPr>
      <w:tab/>
    </w:r>
    <w:r w:rsidRPr="00031431">
      <w:rPr>
        <w:i/>
        <w:color w:val="808080" w:themeColor="background1" w:themeShade="80"/>
        <w:sz w:val="16"/>
      </w:rPr>
      <w:fldChar w:fldCharType="begin"/>
    </w:r>
    <w:r w:rsidRPr="00031431">
      <w:rPr>
        <w:i/>
        <w:color w:val="808080" w:themeColor="background1" w:themeShade="80"/>
        <w:sz w:val="16"/>
      </w:rPr>
      <w:instrText>PAGE   \* MERGEFORMAT</w:instrText>
    </w:r>
    <w:r w:rsidRPr="00031431">
      <w:rPr>
        <w:i/>
        <w:color w:val="808080" w:themeColor="background1" w:themeShade="80"/>
        <w:sz w:val="16"/>
      </w:rPr>
      <w:fldChar w:fldCharType="separate"/>
    </w:r>
    <w:r w:rsidR="00B76F54">
      <w:rPr>
        <w:i/>
        <w:noProof/>
        <w:color w:val="808080" w:themeColor="background1" w:themeShade="80"/>
        <w:sz w:val="16"/>
      </w:rPr>
      <w:t>1</w:t>
    </w:r>
    <w:r w:rsidRPr="00031431">
      <w:rPr>
        <w:i/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619" w:rsidRDefault="00CE7619" w:rsidP="00031431">
      <w:pPr>
        <w:spacing w:after="0" w:line="240" w:lineRule="auto"/>
      </w:pPr>
      <w:r>
        <w:separator/>
      </w:r>
    </w:p>
  </w:footnote>
  <w:footnote w:type="continuationSeparator" w:id="0">
    <w:p w:rsidR="00CE7619" w:rsidRDefault="00CE7619" w:rsidP="00031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4889"/>
    <w:multiLevelType w:val="hybridMultilevel"/>
    <w:tmpl w:val="DB3ADC3C"/>
    <w:lvl w:ilvl="0" w:tplc="18A23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58C8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4C75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FEE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C4B9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7E01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088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8E09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B204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A42054"/>
    <w:multiLevelType w:val="hybridMultilevel"/>
    <w:tmpl w:val="3322267A"/>
    <w:lvl w:ilvl="0" w:tplc="A770F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00F20"/>
    <w:multiLevelType w:val="hybridMultilevel"/>
    <w:tmpl w:val="E124A3B2"/>
    <w:lvl w:ilvl="0" w:tplc="64FC8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CA70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F010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1669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745C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74A8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247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DE34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026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663AA4"/>
    <w:multiLevelType w:val="hybridMultilevel"/>
    <w:tmpl w:val="2E9EED02"/>
    <w:lvl w:ilvl="0" w:tplc="18A23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58C8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4C75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FEE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C4B9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7E01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088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8E09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B204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4D4F83"/>
    <w:multiLevelType w:val="hybridMultilevel"/>
    <w:tmpl w:val="AE1883C8"/>
    <w:lvl w:ilvl="0" w:tplc="18A23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58C8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4C75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FEE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C4B9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7E01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088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8E09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B204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6A5AE3"/>
    <w:multiLevelType w:val="hybridMultilevel"/>
    <w:tmpl w:val="208C0518"/>
    <w:lvl w:ilvl="0" w:tplc="A770F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8EAB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6C62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985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D84D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D82B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0885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0E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740E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F26793"/>
    <w:multiLevelType w:val="hybridMultilevel"/>
    <w:tmpl w:val="B87CE560"/>
    <w:lvl w:ilvl="0" w:tplc="1610DFD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3"/>
    <w:rsid w:val="00031431"/>
    <w:rsid w:val="00037C1A"/>
    <w:rsid w:val="001C175E"/>
    <w:rsid w:val="00225656"/>
    <w:rsid w:val="002353FF"/>
    <w:rsid w:val="002A10EF"/>
    <w:rsid w:val="002E6963"/>
    <w:rsid w:val="003D50A8"/>
    <w:rsid w:val="003D5FFB"/>
    <w:rsid w:val="003D7CE6"/>
    <w:rsid w:val="003E70C7"/>
    <w:rsid w:val="006231D1"/>
    <w:rsid w:val="00661523"/>
    <w:rsid w:val="006932ED"/>
    <w:rsid w:val="00697F03"/>
    <w:rsid w:val="007B6610"/>
    <w:rsid w:val="00890124"/>
    <w:rsid w:val="00AA6DCD"/>
    <w:rsid w:val="00B76F54"/>
    <w:rsid w:val="00BB01E7"/>
    <w:rsid w:val="00BD5E46"/>
    <w:rsid w:val="00CE7619"/>
    <w:rsid w:val="00D139D7"/>
    <w:rsid w:val="00D330A6"/>
    <w:rsid w:val="00DC6C5B"/>
    <w:rsid w:val="00DD0F92"/>
    <w:rsid w:val="00E619C5"/>
    <w:rsid w:val="00E64D69"/>
    <w:rsid w:val="00EB2BC4"/>
    <w:rsid w:val="00EE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4D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4D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6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353F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31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1431"/>
  </w:style>
  <w:style w:type="paragraph" w:styleId="Pieddepage">
    <w:name w:val="footer"/>
    <w:basedOn w:val="Normal"/>
    <w:link w:val="PieddepageCar"/>
    <w:uiPriority w:val="99"/>
    <w:unhideWhenUsed/>
    <w:rsid w:val="00031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1431"/>
  </w:style>
  <w:style w:type="paragraph" w:styleId="Textedebulles">
    <w:name w:val="Balloon Text"/>
    <w:basedOn w:val="Normal"/>
    <w:link w:val="TextedebullesCar"/>
    <w:uiPriority w:val="99"/>
    <w:semiHidden/>
    <w:unhideWhenUsed/>
    <w:rsid w:val="0003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431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31431"/>
    <w:pPr>
      <w:pBdr>
        <w:bottom w:val="single" w:sz="8" w:space="4" w:color="797B7E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31431"/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E64D69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64D69"/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table" w:styleId="Ombrageclair">
    <w:name w:val="Light Shading"/>
    <w:basedOn w:val="TableauNormal"/>
    <w:uiPriority w:val="60"/>
    <w:rsid w:val="00E64D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claire-Accent1">
    <w:name w:val="Light List Accent 1"/>
    <w:basedOn w:val="TableauNormal"/>
    <w:uiPriority w:val="61"/>
    <w:rsid w:val="00E64D69"/>
    <w:pPr>
      <w:spacing w:after="0" w:line="240" w:lineRule="auto"/>
    </w:pPr>
    <w:tblPr>
      <w:tblStyleRowBandSize w:val="1"/>
      <w:tblStyleColBandSize w:val="1"/>
      <w:tblBorders>
        <w:top w:val="single" w:sz="8" w:space="0" w:color="797B7E" w:themeColor="accent1"/>
        <w:left w:val="single" w:sz="8" w:space="0" w:color="797B7E" w:themeColor="accent1"/>
        <w:bottom w:val="single" w:sz="8" w:space="0" w:color="797B7E" w:themeColor="accent1"/>
        <w:right w:val="single" w:sz="8" w:space="0" w:color="797B7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7B7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B7E" w:themeColor="accent1"/>
          <w:left w:val="single" w:sz="8" w:space="0" w:color="797B7E" w:themeColor="accent1"/>
          <w:bottom w:val="single" w:sz="8" w:space="0" w:color="797B7E" w:themeColor="accent1"/>
          <w:right w:val="single" w:sz="8" w:space="0" w:color="797B7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7B7E" w:themeColor="accent1"/>
          <w:left w:val="single" w:sz="8" w:space="0" w:color="797B7E" w:themeColor="accent1"/>
          <w:bottom w:val="single" w:sz="8" w:space="0" w:color="797B7E" w:themeColor="accent1"/>
          <w:right w:val="single" w:sz="8" w:space="0" w:color="797B7E" w:themeColor="accent1"/>
        </w:tcBorders>
      </w:tcPr>
    </w:tblStylePr>
    <w:tblStylePr w:type="band1Horz">
      <w:tblPr/>
      <w:tcPr>
        <w:tcBorders>
          <w:top w:val="single" w:sz="8" w:space="0" w:color="797B7E" w:themeColor="accent1"/>
          <w:left w:val="single" w:sz="8" w:space="0" w:color="797B7E" w:themeColor="accent1"/>
          <w:bottom w:val="single" w:sz="8" w:space="0" w:color="797B7E" w:themeColor="accent1"/>
          <w:right w:val="single" w:sz="8" w:space="0" w:color="797B7E" w:themeColor="accent1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D330A6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4D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4D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6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353F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31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1431"/>
  </w:style>
  <w:style w:type="paragraph" w:styleId="Pieddepage">
    <w:name w:val="footer"/>
    <w:basedOn w:val="Normal"/>
    <w:link w:val="PieddepageCar"/>
    <w:uiPriority w:val="99"/>
    <w:unhideWhenUsed/>
    <w:rsid w:val="00031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1431"/>
  </w:style>
  <w:style w:type="paragraph" w:styleId="Textedebulles">
    <w:name w:val="Balloon Text"/>
    <w:basedOn w:val="Normal"/>
    <w:link w:val="TextedebullesCar"/>
    <w:uiPriority w:val="99"/>
    <w:semiHidden/>
    <w:unhideWhenUsed/>
    <w:rsid w:val="0003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431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31431"/>
    <w:pPr>
      <w:pBdr>
        <w:bottom w:val="single" w:sz="8" w:space="4" w:color="797B7E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31431"/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E64D69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64D69"/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table" w:styleId="Ombrageclair">
    <w:name w:val="Light Shading"/>
    <w:basedOn w:val="TableauNormal"/>
    <w:uiPriority w:val="60"/>
    <w:rsid w:val="00E64D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claire-Accent1">
    <w:name w:val="Light List Accent 1"/>
    <w:basedOn w:val="TableauNormal"/>
    <w:uiPriority w:val="61"/>
    <w:rsid w:val="00E64D69"/>
    <w:pPr>
      <w:spacing w:after="0" w:line="240" w:lineRule="auto"/>
    </w:pPr>
    <w:tblPr>
      <w:tblStyleRowBandSize w:val="1"/>
      <w:tblStyleColBandSize w:val="1"/>
      <w:tblBorders>
        <w:top w:val="single" w:sz="8" w:space="0" w:color="797B7E" w:themeColor="accent1"/>
        <w:left w:val="single" w:sz="8" w:space="0" w:color="797B7E" w:themeColor="accent1"/>
        <w:bottom w:val="single" w:sz="8" w:space="0" w:color="797B7E" w:themeColor="accent1"/>
        <w:right w:val="single" w:sz="8" w:space="0" w:color="797B7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7B7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B7E" w:themeColor="accent1"/>
          <w:left w:val="single" w:sz="8" w:space="0" w:color="797B7E" w:themeColor="accent1"/>
          <w:bottom w:val="single" w:sz="8" w:space="0" w:color="797B7E" w:themeColor="accent1"/>
          <w:right w:val="single" w:sz="8" w:space="0" w:color="797B7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7B7E" w:themeColor="accent1"/>
          <w:left w:val="single" w:sz="8" w:space="0" w:color="797B7E" w:themeColor="accent1"/>
          <w:bottom w:val="single" w:sz="8" w:space="0" w:color="797B7E" w:themeColor="accent1"/>
          <w:right w:val="single" w:sz="8" w:space="0" w:color="797B7E" w:themeColor="accent1"/>
        </w:tcBorders>
      </w:tcPr>
    </w:tblStylePr>
    <w:tblStylePr w:type="band1Horz">
      <w:tblPr/>
      <w:tcPr>
        <w:tcBorders>
          <w:top w:val="single" w:sz="8" w:space="0" w:color="797B7E" w:themeColor="accent1"/>
          <w:left w:val="single" w:sz="8" w:space="0" w:color="797B7E" w:themeColor="accent1"/>
          <w:bottom w:val="single" w:sz="8" w:space="0" w:color="797B7E" w:themeColor="accent1"/>
          <w:right w:val="single" w:sz="8" w:space="0" w:color="797B7E" w:themeColor="accent1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D330A6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8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80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910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471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79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6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49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05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5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40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s-ost.fr/manifest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bs-ost.fr/manifest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s-ost.fr/manifest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Solenn Bihan</dc:creator>
  <cp:lastModifiedBy>Solenn Bihan</cp:lastModifiedBy>
  <cp:revision>2</cp:revision>
  <dcterms:created xsi:type="dcterms:W3CDTF">2017-01-22T14:38:00Z</dcterms:created>
  <dcterms:modified xsi:type="dcterms:W3CDTF">2017-01-22T14:38:00Z</dcterms:modified>
</cp:coreProperties>
</file>